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086F" w14:textId="1FAC0F86" w:rsidR="006A74CA" w:rsidRPr="00271ADD" w:rsidRDefault="009846AF" w:rsidP="00271ADD">
      <w:pPr>
        <w:spacing w:after="0" w:line="240" w:lineRule="auto"/>
        <w:rPr>
          <w:rFonts w:cstheme="minorHAnsi"/>
          <w:b/>
          <w:bCs/>
        </w:rPr>
      </w:pPr>
      <w:r w:rsidRPr="00271ADD">
        <w:rPr>
          <w:rFonts w:cstheme="minorHAnsi"/>
          <w:b/>
          <w:bCs/>
        </w:rPr>
        <w:t>Kurzfassung der Fachinformation</w:t>
      </w:r>
    </w:p>
    <w:p w14:paraId="1AB4F7A8" w14:textId="77777777" w:rsidR="00B90E61" w:rsidRPr="00271ADD" w:rsidRDefault="00B90E61" w:rsidP="00271ADD">
      <w:pPr>
        <w:spacing w:after="0" w:line="240" w:lineRule="auto"/>
        <w:rPr>
          <w:rFonts w:cstheme="minorHAnsi"/>
          <w:b/>
          <w:bCs/>
        </w:rPr>
      </w:pPr>
    </w:p>
    <w:p w14:paraId="41C791A8" w14:textId="550E252C" w:rsidR="00894B1B" w:rsidRPr="00271ADD" w:rsidRDefault="009846AF" w:rsidP="00271ADD">
      <w:pPr>
        <w:spacing w:after="0" w:line="240" w:lineRule="auto"/>
        <w:rPr>
          <w:rFonts w:cstheme="minorHAnsi"/>
        </w:rPr>
      </w:pPr>
      <w:r w:rsidRPr="00271ADD">
        <w:rPr>
          <w:rFonts w:cstheme="minorHAnsi"/>
          <w:b/>
          <w:bCs/>
        </w:rPr>
        <w:t xml:space="preserve">Bezeichnung des Arzneimittels:                                                                                                                       </w:t>
      </w:r>
      <w:proofErr w:type="spellStart"/>
      <w:r w:rsidR="00952989" w:rsidRPr="00271ADD">
        <w:rPr>
          <w:rFonts w:cstheme="minorHAnsi"/>
        </w:rPr>
        <w:t>Mono</w:t>
      </w:r>
      <w:r w:rsidR="00370EC6" w:rsidRPr="00271ADD">
        <w:rPr>
          <w:rFonts w:cstheme="minorHAnsi"/>
        </w:rPr>
        <w:t>f</w:t>
      </w:r>
      <w:r w:rsidR="00952989" w:rsidRPr="00271ADD">
        <w:rPr>
          <w:rFonts w:cstheme="minorHAnsi"/>
        </w:rPr>
        <w:t>er</w:t>
      </w:r>
      <w:proofErr w:type="spellEnd"/>
      <w:r w:rsidR="00952989" w:rsidRPr="00271ADD">
        <w:rPr>
          <w:rFonts w:cstheme="minorHAnsi"/>
        </w:rPr>
        <w:t>® 100 mg/ml Injektions- oder Infusionslösung</w:t>
      </w:r>
    </w:p>
    <w:p w14:paraId="7F849015" w14:textId="77777777" w:rsidR="00B90E61" w:rsidRPr="00271ADD" w:rsidRDefault="00B90E61" w:rsidP="00271ADD">
      <w:pPr>
        <w:spacing w:after="0" w:line="240" w:lineRule="auto"/>
        <w:rPr>
          <w:rFonts w:cstheme="minorHAnsi"/>
          <w:b/>
          <w:bCs/>
        </w:rPr>
      </w:pPr>
    </w:p>
    <w:p w14:paraId="11F98696" w14:textId="77777777" w:rsidR="00B90E61" w:rsidRPr="00271ADD" w:rsidRDefault="009846AF" w:rsidP="00271ADD">
      <w:pPr>
        <w:spacing w:after="0" w:line="240" w:lineRule="auto"/>
        <w:rPr>
          <w:rFonts w:cstheme="minorHAnsi"/>
          <w:b/>
          <w:bCs/>
        </w:rPr>
      </w:pPr>
      <w:r w:rsidRPr="00271ADD">
        <w:rPr>
          <w:rFonts w:cstheme="minorHAnsi"/>
          <w:b/>
          <w:bCs/>
        </w:rPr>
        <w:t xml:space="preserve">Qualitative und quantitative </w:t>
      </w:r>
      <w:r w:rsidR="006A74CA" w:rsidRPr="00271ADD">
        <w:rPr>
          <w:rFonts w:cstheme="minorHAnsi"/>
          <w:b/>
          <w:bCs/>
        </w:rPr>
        <w:t>Zusammensetzung:</w:t>
      </w:r>
    </w:p>
    <w:p w14:paraId="20BA1768" w14:textId="77777777" w:rsidR="00E63BDE" w:rsidRPr="00AF08EC" w:rsidRDefault="00E63BDE" w:rsidP="00E63BDE">
      <w:pPr>
        <w:pStyle w:val="KeinLeerraum"/>
        <w:rPr>
          <w:lang w:val="de-DE"/>
        </w:rPr>
      </w:pPr>
      <w:r w:rsidRPr="00AF08EC">
        <w:rPr>
          <w:lang w:val="de-DE"/>
        </w:rPr>
        <w:t xml:space="preserve">Ein Milliliter der Lösung enthält 100 mg Eisen als </w:t>
      </w:r>
      <w:r w:rsidRPr="00C647D4">
        <w:rPr>
          <w:lang w:val="de-DE"/>
        </w:rPr>
        <w:t>Eisen(III)-</w:t>
      </w:r>
      <w:proofErr w:type="spellStart"/>
      <w:r>
        <w:rPr>
          <w:lang w:val="de-DE"/>
        </w:rPr>
        <w:t>D</w:t>
      </w:r>
      <w:r w:rsidRPr="00C647D4">
        <w:rPr>
          <w:lang w:val="de-DE"/>
        </w:rPr>
        <w:t>erisomaltose</w:t>
      </w:r>
      <w:proofErr w:type="spellEnd"/>
      <w:r w:rsidRPr="00FB5C3F">
        <w:rPr>
          <w:lang w:val="de-DE"/>
        </w:rPr>
        <w:t>.</w:t>
      </w:r>
    </w:p>
    <w:p w14:paraId="1902B3EF" w14:textId="55BA5B54" w:rsidR="00E63BDE" w:rsidRDefault="00E63BDE" w:rsidP="00E63BDE">
      <w:pPr>
        <w:pStyle w:val="KeinLeerraum"/>
      </w:pPr>
      <w:r w:rsidRPr="00AB37CF">
        <w:t>Eine Durchstechflasche/Ampulle mit 1 ml</w:t>
      </w:r>
      <w:r w:rsidR="001E5399">
        <w:t xml:space="preserve">/2 ml/5 ml/10 ml </w:t>
      </w:r>
      <w:r w:rsidRPr="00AB37CF">
        <w:t xml:space="preserve">enthält </w:t>
      </w:r>
      <w:r w:rsidR="001E5399">
        <w:t>100 mg/200 mg/500 mg/</w:t>
      </w:r>
      <w:r w:rsidRPr="00AB37CF">
        <w:t xml:space="preserve">1.000 mg Eisen als </w:t>
      </w:r>
      <w:r w:rsidRPr="00C647D4">
        <w:t>Eisen(III)-</w:t>
      </w:r>
      <w:proofErr w:type="spellStart"/>
      <w:r>
        <w:t>D</w:t>
      </w:r>
      <w:r w:rsidRPr="00C647D4">
        <w:t>erisomaltose</w:t>
      </w:r>
      <w:proofErr w:type="spellEnd"/>
      <w:r w:rsidRPr="00AB37CF">
        <w:t>.</w:t>
      </w:r>
    </w:p>
    <w:p w14:paraId="46F9F502" w14:textId="352946D1" w:rsidR="00E63BDE" w:rsidRPr="00AB37CF" w:rsidRDefault="00E63BDE" w:rsidP="00E63BDE">
      <w:pPr>
        <w:pStyle w:val="KeinLeerraum"/>
      </w:pPr>
      <w:bookmarkStart w:id="0" w:name="_Hlk187151637"/>
      <w:r w:rsidRPr="003E2D28">
        <w:t>Eine Eisendosis von 100</w:t>
      </w:r>
      <w:r>
        <w:t> </w:t>
      </w:r>
      <w:r w:rsidRPr="003E2D28">
        <w:t>mg enthält bis zu 9,4</w:t>
      </w:r>
      <w:r>
        <w:t> </w:t>
      </w:r>
      <w:r w:rsidRPr="003E2D28">
        <w:t>mg (0,41</w:t>
      </w:r>
      <w:r>
        <w:t> </w:t>
      </w:r>
      <w:r w:rsidRPr="003E2D28">
        <w:t>mmol) Natrium, siehe Abschnitt 4.4.</w:t>
      </w:r>
      <w:bookmarkEnd w:id="0"/>
    </w:p>
    <w:p w14:paraId="4285C2C8" w14:textId="77777777" w:rsidR="00B90E61" w:rsidRPr="00271ADD" w:rsidRDefault="00B90E61" w:rsidP="00271ADD">
      <w:pPr>
        <w:spacing w:after="0" w:line="240" w:lineRule="auto"/>
        <w:rPr>
          <w:rFonts w:cstheme="minorHAnsi"/>
        </w:rPr>
      </w:pPr>
    </w:p>
    <w:p w14:paraId="0654BDE7" w14:textId="77777777" w:rsidR="009846AF" w:rsidRPr="00271ADD" w:rsidRDefault="006A74CA" w:rsidP="00271ADD">
      <w:pPr>
        <w:spacing w:after="0" w:line="240" w:lineRule="auto"/>
        <w:rPr>
          <w:rFonts w:cstheme="minorHAnsi"/>
          <w:b/>
          <w:bCs/>
        </w:rPr>
      </w:pPr>
      <w:r w:rsidRPr="00271ADD">
        <w:rPr>
          <w:rFonts w:cstheme="minorHAnsi"/>
          <w:b/>
          <w:bCs/>
        </w:rPr>
        <w:t>Anwendungsgebiet</w:t>
      </w:r>
      <w:r w:rsidR="00952989" w:rsidRPr="00271ADD">
        <w:rPr>
          <w:rFonts w:cstheme="minorHAnsi"/>
          <w:b/>
          <w:bCs/>
        </w:rPr>
        <w:t>e</w:t>
      </w:r>
      <w:r w:rsidRPr="00271ADD">
        <w:rPr>
          <w:rFonts w:cstheme="minorHAnsi"/>
          <w:b/>
          <w:bCs/>
        </w:rPr>
        <w:t xml:space="preserve">: </w:t>
      </w:r>
    </w:p>
    <w:p w14:paraId="774FB554" w14:textId="77777777" w:rsidR="003F0EA9" w:rsidRPr="00271ADD" w:rsidRDefault="003F0EA9" w:rsidP="00271AD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proofErr w:type="spellStart"/>
      <w:r w:rsidRPr="00271ADD">
        <w:rPr>
          <w:rFonts w:cstheme="minorHAnsi"/>
          <w:kern w:val="0"/>
        </w:rPr>
        <w:t>Monofer</w:t>
      </w:r>
      <w:proofErr w:type="spellEnd"/>
      <w:r w:rsidRPr="00271ADD">
        <w:rPr>
          <w:rFonts w:cstheme="minorHAnsi"/>
          <w:kern w:val="0"/>
        </w:rPr>
        <w:t xml:space="preserve"> ist indiziert zur Behandlung eines Eisenmangels in den folgenden Situationen:</w:t>
      </w:r>
    </w:p>
    <w:p w14:paraId="47EC51E0" w14:textId="77777777" w:rsidR="003F0EA9" w:rsidRPr="00271ADD" w:rsidRDefault="003F0EA9" w:rsidP="00271AD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1ADD">
        <w:rPr>
          <w:rFonts w:cstheme="minorHAnsi"/>
          <w:kern w:val="0"/>
        </w:rPr>
        <w:t>- Wenn orale Eisenpräparate nicht wirksam sind oder nicht angewendet werden können.</w:t>
      </w:r>
    </w:p>
    <w:p w14:paraId="500DC9AD" w14:textId="77777777" w:rsidR="003F0EA9" w:rsidRPr="00271ADD" w:rsidRDefault="003F0EA9" w:rsidP="00271AD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1ADD">
        <w:rPr>
          <w:rFonts w:cstheme="minorHAnsi"/>
          <w:kern w:val="0"/>
        </w:rPr>
        <w:t>- Wenn klinisch die Notwendigkeit besteht, schnell Eisen zuzuführen.</w:t>
      </w:r>
    </w:p>
    <w:p w14:paraId="521CBF04" w14:textId="78D5824A" w:rsidR="003F0EA9" w:rsidRPr="00271ADD" w:rsidRDefault="003F0EA9" w:rsidP="00271ADD">
      <w:pPr>
        <w:spacing w:after="0" w:line="240" w:lineRule="auto"/>
        <w:rPr>
          <w:rFonts w:cstheme="minorHAnsi"/>
          <w:kern w:val="0"/>
        </w:rPr>
      </w:pPr>
      <w:r w:rsidRPr="00271ADD">
        <w:rPr>
          <w:rFonts w:cstheme="minorHAnsi"/>
          <w:kern w:val="0"/>
        </w:rPr>
        <w:t>Die Diagnose muss auf Laboruntersuchungen beruhen.</w:t>
      </w:r>
      <w:r w:rsidR="000D29FD">
        <w:rPr>
          <w:rFonts w:cstheme="minorHAnsi"/>
          <w:kern w:val="0"/>
        </w:rPr>
        <w:t xml:space="preserve"> </w:t>
      </w:r>
      <w:r w:rsidR="000D29FD" w:rsidRPr="00122447">
        <w:t>Im Zusammenhang mit einem akuten Blutverlust ist Hämoglobin als diagnostischer Labortest ausreichend</w:t>
      </w:r>
      <w:r w:rsidR="000D29FD">
        <w:t>.</w:t>
      </w:r>
    </w:p>
    <w:p w14:paraId="1FB3431E" w14:textId="77777777" w:rsidR="003F0EA9" w:rsidRPr="00271ADD" w:rsidRDefault="003F0EA9" w:rsidP="00271ADD">
      <w:pPr>
        <w:spacing w:after="0" w:line="240" w:lineRule="auto"/>
        <w:rPr>
          <w:rFonts w:cstheme="minorHAnsi"/>
          <w:kern w:val="0"/>
        </w:rPr>
      </w:pPr>
    </w:p>
    <w:p w14:paraId="0BB74E20" w14:textId="33D8D013" w:rsidR="009846AF" w:rsidRPr="00271ADD" w:rsidRDefault="006A74CA" w:rsidP="00271ADD">
      <w:pPr>
        <w:spacing w:after="0" w:line="240" w:lineRule="auto"/>
        <w:rPr>
          <w:rFonts w:cstheme="minorHAnsi"/>
          <w:b/>
          <w:bCs/>
        </w:rPr>
      </w:pPr>
      <w:r w:rsidRPr="00271ADD">
        <w:rPr>
          <w:rFonts w:cstheme="minorHAnsi"/>
          <w:b/>
          <w:bCs/>
        </w:rPr>
        <w:t xml:space="preserve">Gegenanzeigen: </w:t>
      </w:r>
    </w:p>
    <w:p w14:paraId="5BCC8392" w14:textId="7C05F5E5" w:rsidR="00894B1B" w:rsidRPr="00271ADD" w:rsidRDefault="00952989" w:rsidP="00271ADD">
      <w:pPr>
        <w:spacing w:after="0" w:line="240" w:lineRule="auto"/>
        <w:rPr>
          <w:rFonts w:cstheme="minorHAnsi"/>
        </w:rPr>
      </w:pPr>
      <w:r w:rsidRPr="00271ADD">
        <w:rPr>
          <w:rFonts w:cstheme="minorHAnsi"/>
        </w:rPr>
        <w:t xml:space="preserve">Überempfindlichkeit gegen den Wirkstoff, gegen </w:t>
      </w:r>
      <w:proofErr w:type="spellStart"/>
      <w:r w:rsidRPr="00271ADD">
        <w:rPr>
          <w:rFonts w:cstheme="minorHAnsi"/>
        </w:rPr>
        <w:t>Monofer</w:t>
      </w:r>
      <w:proofErr w:type="spellEnd"/>
      <w:r w:rsidRPr="00271ADD">
        <w:rPr>
          <w:rFonts w:cstheme="minorHAnsi"/>
        </w:rPr>
        <w:t xml:space="preserve"> oder einen der genannten sonstigen Bestandteile. Schwere bekannte Überempfindlichkeit gegen andere parenterale Eisenpräparate. Andere </w:t>
      </w:r>
      <w:proofErr w:type="spellStart"/>
      <w:r w:rsidRPr="00271ADD">
        <w:rPr>
          <w:rFonts w:cstheme="minorHAnsi"/>
        </w:rPr>
        <w:t>Anämieformen</w:t>
      </w:r>
      <w:proofErr w:type="spellEnd"/>
      <w:r w:rsidRPr="00271ADD">
        <w:rPr>
          <w:rFonts w:cstheme="minorHAnsi"/>
        </w:rPr>
        <w:t xml:space="preserve"> als eine Eisenmangelanämie (z. B. hämolytische Anämie). Eisenüberladung oder Störungen der Eisenverwertung (z. B. Hämochromatose, </w:t>
      </w:r>
      <w:proofErr w:type="spellStart"/>
      <w:r w:rsidRPr="00271ADD">
        <w:rPr>
          <w:rFonts w:cstheme="minorHAnsi"/>
        </w:rPr>
        <w:t>Hämosiderose</w:t>
      </w:r>
      <w:proofErr w:type="spellEnd"/>
      <w:r w:rsidRPr="00271ADD">
        <w:rPr>
          <w:rFonts w:cstheme="minorHAnsi"/>
        </w:rPr>
        <w:t xml:space="preserve">). Dekompensierte Lebererkrankung. </w:t>
      </w:r>
    </w:p>
    <w:p w14:paraId="66ACAD92" w14:textId="77777777" w:rsidR="003F0EA9" w:rsidRPr="00271ADD" w:rsidRDefault="003F0EA9" w:rsidP="00271ADD">
      <w:pPr>
        <w:spacing w:after="0" w:line="240" w:lineRule="auto"/>
        <w:rPr>
          <w:rFonts w:cstheme="minorHAnsi"/>
          <w:b/>
          <w:bCs/>
        </w:rPr>
      </w:pPr>
    </w:p>
    <w:p w14:paraId="6BEE53B1" w14:textId="3750ADA5" w:rsidR="00894B1B" w:rsidRPr="00271ADD" w:rsidRDefault="009846AF" w:rsidP="00271ADD">
      <w:pPr>
        <w:spacing w:after="0" w:line="240" w:lineRule="auto"/>
        <w:rPr>
          <w:rFonts w:cstheme="minorHAnsi"/>
          <w:b/>
          <w:bCs/>
        </w:rPr>
      </w:pPr>
      <w:r w:rsidRPr="00271ADD">
        <w:rPr>
          <w:rFonts w:cstheme="minorHAnsi"/>
          <w:b/>
          <w:bCs/>
        </w:rPr>
        <w:t>Pharmakotherapeutische Gruppe:</w:t>
      </w:r>
      <w:r w:rsidRPr="00271ADD">
        <w:rPr>
          <w:rFonts w:cstheme="minorHAnsi"/>
        </w:rPr>
        <w:t xml:space="preserve"> Eisen, parenterale Zubereitungen, ATC-Code</w:t>
      </w:r>
      <w:r w:rsidR="00271ADD" w:rsidRPr="00271ADD">
        <w:rPr>
          <w:rFonts w:cstheme="minorHAnsi"/>
        </w:rPr>
        <w:t>:</w:t>
      </w:r>
      <w:r w:rsidRPr="00271ADD">
        <w:rPr>
          <w:rFonts w:cstheme="minorHAnsi"/>
        </w:rPr>
        <w:t xml:space="preserve"> B03AC</w:t>
      </w:r>
    </w:p>
    <w:p w14:paraId="56F63836" w14:textId="77777777" w:rsidR="00271ADD" w:rsidRPr="00271ADD" w:rsidRDefault="00271ADD" w:rsidP="00271ADD">
      <w:pPr>
        <w:spacing w:after="0" w:line="240" w:lineRule="auto"/>
        <w:rPr>
          <w:rFonts w:cstheme="minorHAnsi"/>
          <w:b/>
          <w:bCs/>
        </w:rPr>
      </w:pPr>
    </w:p>
    <w:p w14:paraId="770DE286" w14:textId="2E60E9CD" w:rsidR="009846AF" w:rsidRPr="00271ADD" w:rsidRDefault="003F0EA9" w:rsidP="00271ADD">
      <w:pPr>
        <w:spacing w:after="0" w:line="240" w:lineRule="auto"/>
        <w:rPr>
          <w:rFonts w:cstheme="minorHAnsi"/>
        </w:rPr>
      </w:pPr>
      <w:r w:rsidRPr="00271ADD">
        <w:rPr>
          <w:rFonts w:cstheme="minorHAnsi"/>
          <w:b/>
          <w:bCs/>
        </w:rPr>
        <w:t>Liste der s</w:t>
      </w:r>
      <w:r w:rsidR="009846AF" w:rsidRPr="00271ADD">
        <w:rPr>
          <w:rFonts w:cstheme="minorHAnsi"/>
          <w:b/>
          <w:bCs/>
        </w:rPr>
        <w:t>onstige</w:t>
      </w:r>
      <w:r w:rsidRPr="00271ADD">
        <w:rPr>
          <w:rFonts w:cstheme="minorHAnsi"/>
          <w:b/>
          <w:bCs/>
        </w:rPr>
        <w:t>n</w:t>
      </w:r>
      <w:r w:rsidR="009846AF" w:rsidRPr="00271ADD">
        <w:rPr>
          <w:rFonts w:cstheme="minorHAnsi"/>
          <w:b/>
          <w:bCs/>
        </w:rPr>
        <w:t xml:space="preserve"> Bestandteile:</w:t>
      </w:r>
      <w:r w:rsidR="009846AF" w:rsidRPr="00271ADD">
        <w:rPr>
          <w:rFonts w:cstheme="minorHAnsi"/>
        </w:rPr>
        <w:t xml:space="preserve"> Wasser für Injektionszwecke, Natriumhydroxid (zur pH-Wert Einstellung), Salzsäure (zur pH-Wert Einstellung)</w:t>
      </w:r>
    </w:p>
    <w:p w14:paraId="63F9015F" w14:textId="77777777" w:rsidR="00271ADD" w:rsidRPr="00271ADD" w:rsidRDefault="00271ADD" w:rsidP="00271ADD">
      <w:pPr>
        <w:spacing w:after="0" w:line="240" w:lineRule="auto"/>
        <w:rPr>
          <w:rFonts w:cstheme="minorHAnsi"/>
          <w:b/>
          <w:bCs/>
        </w:rPr>
      </w:pPr>
    </w:p>
    <w:p w14:paraId="54E9294B" w14:textId="652BF203" w:rsidR="006F672D" w:rsidRPr="00271ADD" w:rsidRDefault="006F672D" w:rsidP="00271ADD">
      <w:pPr>
        <w:spacing w:after="0" w:line="240" w:lineRule="auto"/>
        <w:rPr>
          <w:rFonts w:cstheme="minorHAnsi"/>
          <w:b/>
          <w:bCs/>
        </w:rPr>
      </w:pPr>
      <w:r w:rsidRPr="00271ADD">
        <w:rPr>
          <w:rFonts w:cstheme="minorHAnsi"/>
          <w:b/>
          <w:bCs/>
        </w:rPr>
        <w:t>I</w:t>
      </w:r>
      <w:r w:rsidR="00BE4262" w:rsidRPr="00271ADD">
        <w:rPr>
          <w:rFonts w:cstheme="minorHAnsi"/>
          <w:b/>
          <w:bCs/>
        </w:rPr>
        <w:t>nhaber</w:t>
      </w:r>
      <w:r w:rsidRPr="00271ADD">
        <w:rPr>
          <w:rFonts w:cstheme="minorHAnsi"/>
          <w:b/>
          <w:bCs/>
        </w:rPr>
        <w:t xml:space="preserve"> der Zulassung</w:t>
      </w:r>
      <w:r w:rsidR="00BE4262" w:rsidRPr="00271ADD">
        <w:rPr>
          <w:rFonts w:cstheme="minorHAnsi"/>
          <w:b/>
          <w:bCs/>
        </w:rPr>
        <w:t>:</w:t>
      </w:r>
      <w:r w:rsidR="006A74CA" w:rsidRPr="00271ADD">
        <w:rPr>
          <w:rFonts w:cstheme="minorHAnsi"/>
          <w:b/>
          <w:bCs/>
        </w:rPr>
        <w:t xml:space="preserve"> </w:t>
      </w:r>
      <w:proofErr w:type="spellStart"/>
      <w:r w:rsidR="006A74CA" w:rsidRPr="00271ADD">
        <w:rPr>
          <w:rFonts w:cstheme="minorHAnsi"/>
        </w:rPr>
        <w:t>Pharmacosmos</w:t>
      </w:r>
      <w:proofErr w:type="spellEnd"/>
      <w:r w:rsidR="006A74CA" w:rsidRPr="00271ADD">
        <w:rPr>
          <w:rFonts w:cstheme="minorHAnsi"/>
        </w:rPr>
        <w:t xml:space="preserve"> A/S, </w:t>
      </w:r>
      <w:proofErr w:type="spellStart"/>
      <w:r w:rsidR="006A74CA" w:rsidRPr="00271ADD">
        <w:rPr>
          <w:rFonts w:cstheme="minorHAnsi"/>
        </w:rPr>
        <w:t>Roervangsvej</w:t>
      </w:r>
      <w:proofErr w:type="spellEnd"/>
      <w:r w:rsidR="006A74CA" w:rsidRPr="00271ADD">
        <w:rPr>
          <w:rFonts w:cstheme="minorHAnsi"/>
        </w:rPr>
        <w:t xml:space="preserve"> 30, DK-4300 </w:t>
      </w:r>
      <w:proofErr w:type="spellStart"/>
      <w:r w:rsidR="006A74CA" w:rsidRPr="00271ADD">
        <w:rPr>
          <w:rFonts w:cstheme="minorHAnsi"/>
        </w:rPr>
        <w:t>Holbaek</w:t>
      </w:r>
      <w:proofErr w:type="spellEnd"/>
      <w:r w:rsidR="006A74CA" w:rsidRPr="00271ADD">
        <w:rPr>
          <w:rFonts w:cstheme="minorHAnsi"/>
        </w:rPr>
        <w:t>, Dänemark</w:t>
      </w:r>
    </w:p>
    <w:p w14:paraId="2C3305C5" w14:textId="749C31B1" w:rsidR="00894B1B" w:rsidRPr="00271ADD" w:rsidRDefault="00BE4262" w:rsidP="00271ADD">
      <w:pPr>
        <w:spacing w:after="0" w:line="240" w:lineRule="auto"/>
        <w:rPr>
          <w:rFonts w:cstheme="minorHAnsi"/>
        </w:rPr>
      </w:pPr>
      <w:r w:rsidRPr="00271ADD">
        <w:rPr>
          <w:rFonts w:cstheme="minorHAnsi"/>
          <w:b/>
          <w:bCs/>
        </w:rPr>
        <w:t>Vertrieb</w:t>
      </w:r>
      <w:r w:rsidR="00575402" w:rsidRPr="00271ADD">
        <w:rPr>
          <w:rFonts w:cstheme="minorHAnsi"/>
          <w:b/>
          <w:bCs/>
        </w:rPr>
        <w:t xml:space="preserve">: </w:t>
      </w:r>
      <w:r w:rsidR="00575402" w:rsidRPr="00271ADD">
        <w:rPr>
          <w:rFonts w:cstheme="minorHAnsi"/>
        </w:rPr>
        <w:t>Astro</w:t>
      </w:r>
      <w:r w:rsidR="00271ADD" w:rsidRPr="00271ADD">
        <w:rPr>
          <w:rFonts w:cstheme="minorHAnsi"/>
        </w:rPr>
        <w:t>-</w:t>
      </w:r>
      <w:proofErr w:type="spellStart"/>
      <w:r w:rsidR="00271ADD" w:rsidRPr="00271ADD">
        <w:rPr>
          <w:rFonts w:cstheme="minorHAnsi"/>
        </w:rPr>
        <w:t>P</w:t>
      </w:r>
      <w:r w:rsidR="00575402" w:rsidRPr="00271ADD">
        <w:rPr>
          <w:rFonts w:cstheme="minorHAnsi"/>
        </w:rPr>
        <w:t>harma</w:t>
      </w:r>
      <w:proofErr w:type="spellEnd"/>
      <w:r w:rsidR="00575402" w:rsidRPr="00271ADD">
        <w:rPr>
          <w:rFonts w:cstheme="minorHAnsi"/>
        </w:rPr>
        <w:t xml:space="preserve"> GmbH, </w:t>
      </w:r>
      <w:r w:rsidR="00371940" w:rsidRPr="00271ADD">
        <w:rPr>
          <w:rFonts w:cstheme="minorHAnsi"/>
        </w:rPr>
        <w:t>Allerheiligenplatz 4, 1200</w:t>
      </w:r>
      <w:r w:rsidR="00575402" w:rsidRPr="00271ADD">
        <w:rPr>
          <w:rFonts w:cstheme="minorHAnsi"/>
        </w:rPr>
        <w:t xml:space="preserve"> Wien</w:t>
      </w:r>
      <w:r w:rsidR="006A74CA" w:rsidRPr="00271ADD">
        <w:rPr>
          <w:rFonts w:cstheme="minorHAnsi"/>
        </w:rPr>
        <w:t xml:space="preserve"> </w:t>
      </w:r>
    </w:p>
    <w:p w14:paraId="79438562" w14:textId="77777777" w:rsidR="00271ADD" w:rsidRPr="00271ADD" w:rsidRDefault="00271ADD" w:rsidP="00271ADD">
      <w:pPr>
        <w:spacing w:after="0" w:line="240" w:lineRule="auto"/>
        <w:rPr>
          <w:rFonts w:cstheme="minorHAnsi"/>
          <w:b/>
          <w:bCs/>
        </w:rPr>
      </w:pPr>
    </w:p>
    <w:p w14:paraId="296017F4" w14:textId="5405B026" w:rsidR="006F672D" w:rsidRPr="00271ADD" w:rsidRDefault="00271ADD" w:rsidP="00271ADD">
      <w:pPr>
        <w:spacing w:after="0" w:line="240" w:lineRule="auto"/>
        <w:rPr>
          <w:rFonts w:cstheme="minorHAnsi"/>
        </w:rPr>
      </w:pPr>
      <w:r w:rsidRPr="00271ADD">
        <w:rPr>
          <w:rFonts w:cstheme="minorHAnsi"/>
          <w:b/>
          <w:bCs/>
        </w:rPr>
        <w:t>Rezept</w:t>
      </w:r>
      <w:r w:rsidR="006F672D" w:rsidRPr="00271ADD">
        <w:rPr>
          <w:rFonts w:cstheme="minorHAnsi"/>
          <w:b/>
          <w:bCs/>
        </w:rPr>
        <w:t>pflicht/Apothekenpflicht:</w:t>
      </w:r>
      <w:r w:rsidR="006F672D" w:rsidRPr="00271ADD">
        <w:rPr>
          <w:rFonts w:cstheme="minorHAnsi"/>
        </w:rPr>
        <w:t xml:space="preserve"> Rezept- und apothekenpflichtig</w:t>
      </w:r>
    </w:p>
    <w:p w14:paraId="451DF580" w14:textId="77777777" w:rsidR="006F672D" w:rsidRPr="00271ADD" w:rsidRDefault="006F672D" w:rsidP="00271ADD">
      <w:pPr>
        <w:spacing w:after="0" w:line="240" w:lineRule="auto"/>
        <w:rPr>
          <w:rFonts w:cstheme="minorHAnsi"/>
        </w:rPr>
      </w:pPr>
    </w:p>
    <w:p w14:paraId="068899A3" w14:textId="723D5E1F" w:rsidR="002B7D28" w:rsidRPr="00271ADD" w:rsidRDefault="009846AF" w:rsidP="00271ADD">
      <w:pPr>
        <w:spacing w:after="0" w:line="240" w:lineRule="auto"/>
        <w:rPr>
          <w:rFonts w:cstheme="minorHAnsi"/>
        </w:rPr>
      </w:pPr>
      <w:r w:rsidRPr="00271ADD">
        <w:rPr>
          <w:rFonts w:cstheme="minorHAnsi"/>
        </w:rPr>
        <w:t>Weitere Informationen zu den Abschnitten Besondere Warnhinweisen, Vorsichtsmaßnahmen für die Anwendung, Wechselwirkungen mit anderen Arzneimitteln und sonstige Wechselwirkungen,</w:t>
      </w:r>
      <w:r w:rsidR="006F672D" w:rsidRPr="00271ADD">
        <w:rPr>
          <w:rFonts w:cstheme="minorHAnsi"/>
        </w:rPr>
        <w:t xml:space="preserve"> </w:t>
      </w:r>
      <w:r w:rsidR="00271ADD" w:rsidRPr="00271ADD">
        <w:rPr>
          <w:rFonts w:cstheme="minorHAnsi"/>
        </w:rPr>
        <w:t xml:space="preserve">Fertilität, </w:t>
      </w:r>
      <w:r w:rsidRPr="00271ADD">
        <w:rPr>
          <w:rFonts w:cstheme="minorHAnsi"/>
        </w:rPr>
        <w:t>Schwangerschaft und Stillzeit</w:t>
      </w:r>
      <w:r w:rsidR="006F672D" w:rsidRPr="00271ADD">
        <w:rPr>
          <w:rFonts w:cstheme="minorHAnsi"/>
        </w:rPr>
        <w:t xml:space="preserve"> und Nebenwirkungen</w:t>
      </w:r>
      <w:r w:rsidR="002B7D28" w:rsidRPr="00271ADD">
        <w:rPr>
          <w:rFonts w:cstheme="minorHAnsi"/>
        </w:rPr>
        <w:t xml:space="preserve"> entnehmen Sie bitte der veröffentlichten Fachinformation.</w:t>
      </w:r>
    </w:p>
    <w:p w14:paraId="41D19779" w14:textId="417AB5FE" w:rsidR="009846AF" w:rsidRPr="00271ADD" w:rsidRDefault="009846AF" w:rsidP="00271ADD">
      <w:pPr>
        <w:spacing w:after="0" w:line="240" w:lineRule="auto"/>
        <w:rPr>
          <w:rFonts w:cstheme="minorHAnsi"/>
        </w:rPr>
      </w:pPr>
    </w:p>
    <w:p w14:paraId="32CE0424" w14:textId="4F60C968" w:rsidR="003236D6" w:rsidRPr="00271ADD" w:rsidRDefault="006A74CA" w:rsidP="00271ADD">
      <w:pPr>
        <w:spacing w:after="0" w:line="240" w:lineRule="auto"/>
        <w:rPr>
          <w:rFonts w:cstheme="minorHAnsi"/>
          <w:b/>
          <w:bCs/>
        </w:rPr>
      </w:pPr>
      <w:r w:rsidRPr="00271ADD">
        <w:rPr>
          <w:rFonts w:cstheme="minorHAnsi"/>
          <w:b/>
          <w:bCs/>
        </w:rPr>
        <w:t>Stand</w:t>
      </w:r>
      <w:r w:rsidR="009846AF" w:rsidRPr="00271ADD">
        <w:rPr>
          <w:rFonts w:cstheme="minorHAnsi"/>
          <w:b/>
          <w:bCs/>
        </w:rPr>
        <w:t xml:space="preserve"> der Information</w:t>
      </w:r>
      <w:r w:rsidRPr="00271ADD">
        <w:rPr>
          <w:rFonts w:cstheme="minorHAnsi"/>
          <w:b/>
          <w:bCs/>
        </w:rPr>
        <w:t xml:space="preserve">: </w:t>
      </w:r>
      <w:r w:rsidR="001E12E5">
        <w:rPr>
          <w:rFonts w:cstheme="minorHAnsi"/>
        </w:rPr>
        <w:t>März 2025</w:t>
      </w:r>
    </w:p>
    <w:sectPr w:rsidR="003236D6" w:rsidRPr="00271A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CA"/>
    <w:rsid w:val="00012711"/>
    <w:rsid w:val="000D29FD"/>
    <w:rsid w:val="00144380"/>
    <w:rsid w:val="001E12E5"/>
    <w:rsid w:val="001E5399"/>
    <w:rsid w:val="00271ADD"/>
    <w:rsid w:val="002B7D28"/>
    <w:rsid w:val="003236D6"/>
    <w:rsid w:val="00370EC6"/>
    <w:rsid w:val="00371940"/>
    <w:rsid w:val="00376B3B"/>
    <w:rsid w:val="003E199F"/>
    <w:rsid w:val="003F0EA9"/>
    <w:rsid w:val="00575402"/>
    <w:rsid w:val="0064157E"/>
    <w:rsid w:val="006A74CA"/>
    <w:rsid w:val="006F672D"/>
    <w:rsid w:val="00742A63"/>
    <w:rsid w:val="00751A36"/>
    <w:rsid w:val="0075379F"/>
    <w:rsid w:val="008323F5"/>
    <w:rsid w:val="00894B1B"/>
    <w:rsid w:val="00944530"/>
    <w:rsid w:val="00952989"/>
    <w:rsid w:val="009846AF"/>
    <w:rsid w:val="00990119"/>
    <w:rsid w:val="00997DA0"/>
    <w:rsid w:val="00AE021F"/>
    <w:rsid w:val="00B10473"/>
    <w:rsid w:val="00B90E61"/>
    <w:rsid w:val="00BE4262"/>
    <w:rsid w:val="00DB5538"/>
    <w:rsid w:val="00E6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5AEF"/>
  <w15:chartTrackingRefBased/>
  <w15:docId w15:val="{152C04B1-484D-4C1F-8DF1-FBC1CC92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EAEnBodyText">
    <w:name w:val="EMEA En Body Text"/>
    <w:basedOn w:val="Standard"/>
    <w:rsid w:val="00E63BD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KeinLeerraum">
    <w:name w:val="No Spacing"/>
    <w:uiPriority w:val="1"/>
    <w:qFormat/>
    <w:rsid w:val="00E63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Mühl Andrea</dc:creator>
  <cp:keywords/>
  <dc:description/>
  <cp:lastModifiedBy>Putnik Tamara</cp:lastModifiedBy>
  <cp:revision>9</cp:revision>
  <dcterms:created xsi:type="dcterms:W3CDTF">2023-12-12T13:33:00Z</dcterms:created>
  <dcterms:modified xsi:type="dcterms:W3CDTF">2025-05-14T11:11:00Z</dcterms:modified>
</cp:coreProperties>
</file>